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43" w:rsidRDefault="006E3D43" w:rsidP="006E3D43">
      <w:pPr>
        <w:jc w:val="center"/>
        <w:rPr>
          <w:b/>
          <w:sz w:val="28"/>
          <w:szCs w:val="28"/>
        </w:rPr>
      </w:pPr>
      <w:r w:rsidRPr="003C41BD">
        <w:rPr>
          <w:b/>
          <w:sz w:val="28"/>
          <w:szCs w:val="28"/>
        </w:rPr>
        <w:t>ΟΙΚΟΝΟΜΙΚΗ ΠΡΟΣΦΟΡΑ</w:t>
      </w:r>
    </w:p>
    <w:p w:rsidR="006E3D43" w:rsidRDefault="006E3D43" w:rsidP="006E3D43">
      <w:pPr>
        <w:ind w:left="5245" w:right="708"/>
        <w:jc w:val="center"/>
      </w:pPr>
    </w:p>
    <w:p w:rsidR="006E3D43" w:rsidRPr="00025633" w:rsidRDefault="006E3D43" w:rsidP="006E3D43">
      <w:pPr>
        <w:rPr>
          <w:b/>
          <w:u w:val="single"/>
        </w:rPr>
      </w:pPr>
      <w:r w:rsidRPr="00025633">
        <w:rPr>
          <w:b/>
          <w:u w:val="single"/>
        </w:rPr>
        <w:t>Ι)</w:t>
      </w:r>
      <w:r>
        <w:rPr>
          <w:b/>
          <w:u w:val="single"/>
        </w:rPr>
        <w:t xml:space="preserve"> Τ</w:t>
      </w:r>
      <w:r w:rsidRPr="00025633">
        <w:rPr>
          <w:rFonts w:cs="Calibri"/>
          <w:b/>
          <w:szCs w:val="20"/>
          <w:u w:val="single"/>
          <w:lang w:eastAsia="el-GR"/>
        </w:rPr>
        <w:t>ακτική</w:t>
      </w:r>
      <w:r w:rsidRPr="00025633">
        <w:rPr>
          <w:rFonts w:cs="Calibri"/>
          <w:b/>
          <w:color w:val="FF0000"/>
          <w:szCs w:val="20"/>
          <w:u w:val="single"/>
          <w:lang w:eastAsia="el-GR"/>
        </w:rPr>
        <w:t xml:space="preserve"> </w:t>
      </w:r>
      <w:r w:rsidRPr="00025633">
        <w:rPr>
          <w:rFonts w:cs="Calibri"/>
          <w:b/>
          <w:szCs w:val="20"/>
          <w:u w:val="single"/>
          <w:lang w:eastAsia="el-GR"/>
        </w:rPr>
        <w:t>συντήρηση (δύο φορές τον μήνα)</w:t>
      </w:r>
    </w:p>
    <w:p w:rsidR="006E3D43" w:rsidRPr="00025633" w:rsidRDefault="006E3D43" w:rsidP="006E3D43">
      <w:pPr>
        <w:widowControl w:val="0"/>
        <w:spacing w:line="240" w:lineRule="auto"/>
        <w:jc w:val="left"/>
        <w:rPr>
          <w:rFonts w:cs="Calibri"/>
          <w:szCs w:val="20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2270"/>
        <w:gridCol w:w="1457"/>
        <w:gridCol w:w="2024"/>
      </w:tblGrid>
      <w:tr w:rsidR="006E3D43" w:rsidRPr="00025633" w:rsidTr="007E056B">
        <w:tc>
          <w:tcPr>
            <w:tcW w:w="3429" w:type="dxa"/>
            <w:shd w:val="clear" w:color="auto" w:fill="auto"/>
            <w:vAlign w:val="center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 w:rsidRPr="00025633">
              <w:rPr>
                <w:rFonts w:cs="Calibri"/>
                <w:b/>
                <w:szCs w:val="20"/>
                <w:lang w:eastAsia="el-GR"/>
              </w:rPr>
              <w:t>Είδος δαπάνης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 w:rsidRPr="00025633">
              <w:rPr>
                <w:rFonts w:cs="Calibri"/>
                <w:b/>
                <w:szCs w:val="20"/>
                <w:lang w:eastAsia="el-GR"/>
              </w:rPr>
              <w:t xml:space="preserve">Μηνιαίο ποσό </w:t>
            </w:r>
            <w:r>
              <w:rPr>
                <w:rFonts w:cs="Calibri"/>
                <w:b/>
                <w:szCs w:val="20"/>
                <w:lang w:eastAsia="el-GR"/>
              </w:rPr>
              <w:t>άνευ ΦΠΑ 24%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ΦΠΑ 24%</w:t>
            </w:r>
          </w:p>
        </w:tc>
        <w:tc>
          <w:tcPr>
            <w:tcW w:w="2024" w:type="dxa"/>
            <w:vAlign w:val="center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Μηνιαίο ποσό συμπεριλαμβανομένου ΦΠΑ 24%</w:t>
            </w:r>
          </w:p>
        </w:tc>
      </w:tr>
      <w:tr w:rsidR="006E3D43" w:rsidRPr="00025633" w:rsidTr="007E056B">
        <w:tc>
          <w:tcPr>
            <w:tcW w:w="3429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szCs w:val="20"/>
                <w:lang w:eastAsia="el-GR"/>
              </w:rPr>
            </w:pPr>
            <w:r w:rsidRPr="00025633">
              <w:rPr>
                <w:rFonts w:cs="Calibri"/>
                <w:szCs w:val="20"/>
                <w:lang w:eastAsia="el-GR"/>
              </w:rPr>
              <w:t>Τακτική συντήρηση</w:t>
            </w:r>
            <w:r>
              <w:rPr>
                <w:rFonts w:cs="Calibri"/>
                <w:szCs w:val="20"/>
                <w:lang w:eastAsia="el-GR"/>
              </w:rPr>
              <w:t xml:space="preserve"> 6 ανελκυστήρων, </w:t>
            </w:r>
            <w:proofErr w:type="spellStart"/>
            <w:r>
              <w:rPr>
                <w:rFonts w:cs="Calibri"/>
                <w:szCs w:val="20"/>
                <w:lang w:eastAsia="el-GR"/>
              </w:rPr>
              <w:t>μικροανταλακτικά</w:t>
            </w:r>
            <w:proofErr w:type="spellEnd"/>
            <w:r>
              <w:rPr>
                <w:rFonts w:cs="Calibri"/>
                <w:szCs w:val="20"/>
                <w:lang w:eastAsia="el-GR"/>
              </w:rPr>
              <w:t xml:space="preserve"> </w:t>
            </w:r>
            <w:r w:rsidRPr="00025633">
              <w:rPr>
                <w:rFonts w:cs="Calibri"/>
                <w:szCs w:val="20"/>
                <w:lang w:eastAsia="el-GR"/>
              </w:rPr>
              <w:t>–</w:t>
            </w:r>
            <w:r>
              <w:rPr>
                <w:rFonts w:cs="Calibri"/>
                <w:szCs w:val="20"/>
                <w:lang w:eastAsia="el-GR"/>
              </w:rPr>
              <w:t xml:space="preserve"> </w:t>
            </w:r>
            <w:r w:rsidRPr="00025633">
              <w:rPr>
                <w:rFonts w:cs="Calibri"/>
                <w:szCs w:val="20"/>
                <w:lang w:eastAsia="el-GR"/>
              </w:rPr>
              <w:t xml:space="preserve">εργασία για επισκευή  έκτακτων  βλαβών.        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2024" w:type="dxa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szCs w:val="20"/>
                <w:lang w:eastAsia="el-GR"/>
              </w:rPr>
            </w:pPr>
          </w:p>
        </w:tc>
      </w:tr>
      <w:tr w:rsidR="006E3D43" w:rsidRPr="00025633" w:rsidTr="007E056B">
        <w:tc>
          <w:tcPr>
            <w:tcW w:w="3429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3727" w:type="dxa"/>
            <w:gridSpan w:val="2"/>
            <w:shd w:val="clear" w:color="auto" w:fill="auto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ΣΥΝΟΛΙΚΟ ΕΤΗΣΙΟ ΠΟΣΟ ΑΝΕΥ ΦΠΑ 24%</w:t>
            </w:r>
          </w:p>
        </w:tc>
        <w:tc>
          <w:tcPr>
            <w:tcW w:w="2024" w:type="dxa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</w:p>
        </w:tc>
      </w:tr>
      <w:tr w:rsidR="006E3D43" w:rsidRPr="00025633" w:rsidTr="007E056B">
        <w:tc>
          <w:tcPr>
            <w:tcW w:w="3429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3727" w:type="dxa"/>
            <w:gridSpan w:val="2"/>
            <w:shd w:val="clear" w:color="auto" w:fill="auto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ΦΠΑ 24%</w:t>
            </w:r>
          </w:p>
        </w:tc>
        <w:tc>
          <w:tcPr>
            <w:tcW w:w="2024" w:type="dxa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</w:p>
        </w:tc>
      </w:tr>
      <w:tr w:rsidR="006E3D43" w:rsidRPr="00025633" w:rsidTr="007E056B">
        <w:tc>
          <w:tcPr>
            <w:tcW w:w="3429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3727" w:type="dxa"/>
            <w:gridSpan w:val="2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ΣΥΝΟΛΙΚΟ ΕΤΗΣΙΟ ΠΟΣΟ ΣΥΜΠ. ΦΠΑ 24%</w:t>
            </w:r>
          </w:p>
        </w:tc>
        <w:tc>
          <w:tcPr>
            <w:tcW w:w="2024" w:type="dxa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</w:p>
        </w:tc>
      </w:tr>
    </w:tbl>
    <w:p w:rsidR="006E3D43" w:rsidRPr="00025633" w:rsidRDefault="006E3D43" w:rsidP="006E3D43">
      <w:pPr>
        <w:spacing w:line="240" w:lineRule="auto"/>
        <w:ind w:left="-1260"/>
        <w:jc w:val="left"/>
        <w:rPr>
          <w:rFonts w:cs="Calibri"/>
          <w:szCs w:val="20"/>
          <w:lang w:eastAsia="el-GR"/>
        </w:rPr>
      </w:pPr>
      <w:r w:rsidRPr="00025633">
        <w:rPr>
          <w:rFonts w:cs="Calibri"/>
          <w:szCs w:val="20"/>
          <w:lang w:eastAsia="el-GR"/>
        </w:rPr>
        <w:t xml:space="preserve">                                                                                    </w:t>
      </w:r>
    </w:p>
    <w:p w:rsidR="006E3D43" w:rsidRPr="00025633" w:rsidRDefault="006E3D43" w:rsidP="006E3D43">
      <w:pPr>
        <w:widowControl w:val="0"/>
        <w:spacing w:line="240" w:lineRule="auto"/>
        <w:jc w:val="left"/>
        <w:rPr>
          <w:rFonts w:cs="Calibri"/>
          <w:b/>
          <w:szCs w:val="20"/>
          <w:u w:val="single"/>
          <w:lang w:eastAsia="el-GR"/>
        </w:rPr>
      </w:pPr>
      <w:r>
        <w:rPr>
          <w:rFonts w:cs="Calibri"/>
          <w:b/>
          <w:szCs w:val="20"/>
          <w:u w:val="single"/>
          <w:lang w:eastAsia="el-GR"/>
        </w:rPr>
        <w:t>ΙΙ) Έ</w:t>
      </w:r>
      <w:r w:rsidRPr="00025633">
        <w:rPr>
          <w:rFonts w:cs="Calibri"/>
          <w:b/>
          <w:szCs w:val="20"/>
          <w:u w:val="single"/>
          <w:lang w:eastAsia="el-GR"/>
        </w:rPr>
        <w:t xml:space="preserve">κδοση πιστοποιητικού  </w:t>
      </w:r>
      <w:r>
        <w:rPr>
          <w:rFonts w:cs="Calibri"/>
          <w:b/>
          <w:szCs w:val="20"/>
          <w:u w:val="single"/>
          <w:lang w:eastAsia="el-GR"/>
        </w:rPr>
        <w:t>Π</w:t>
      </w:r>
      <w:r w:rsidRPr="00025633">
        <w:rPr>
          <w:rFonts w:cs="Calibri"/>
          <w:b/>
          <w:szCs w:val="20"/>
          <w:u w:val="single"/>
          <w:lang w:eastAsia="el-GR"/>
        </w:rPr>
        <w:t xml:space="preserve">ιστοποίησης </w:t>
      </w:r>
      <w:r>
        <w:rPr>
          <w:rFonts w:cs="Calibri"/>
          <w:b/>
          <w:szCs w:val="20"/>
          <w:u w:val="single"/>
          <w:lang w:eastAsia="el-GR"/>
        </w:rPr>
        <w:t>Ανελκυστήρων</w:t>
      </w:r>
    </w:p>
    <w:p w:rsidR="006E3D43" w:rsidRPr="00025633" w:rsidRDefault="006E3D43" w:rsidP="006E3D43">
      <w:pPr>
        <w:widowControl w:val="0"/>
        <w:spacing w:line="240" w:lineRule="auto"/>
        <w:jc w:val="left"/>
        <w:rPr>
          <w:rFonts w:cs="Calibri"/>
          <w:szCs w:val="20"/>
          <w:lang w:eastAsia="el-G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2271"/>
        <w:gridCol w:w="1462"/>
        <w:gridCol w:w="2024"/>
      </w:tblGrid>
      <w:tr w:rsidR="006E3D43" w:rsidRPr="00025633" w:rsidTr="007E056B">
        <w:tc>
          <w:tcPr>
            <w:tcW w:w="3423" w:type="dxa"/>
            <w:shd w:val="clear" w:color="auto" w:fill="auto"/>
            <w:vAlign w:val="center"/>
          </w:tcPr>
          <w:p w:rsidR="006E3D43" w:rsidRPr="00F82FB0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 w:rsidRPr="00F82FB0">
              <w:rPr>
                <w:rFonts w:cs="Calibri"/>
                <w:b/>
                <w:szCs w:val="20"/>
                <w:lang w:eastAsia="el-GR"/>
              </w:rPr>
              <w:t>Είδος δαπάνης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E3D43" w:rsidRPr="00F82FB0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Ποσό ανά μονάδα άνευ ΦΠΑ 24%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E3D43" w:rsidRPr="00F82FB0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ΦΠΑ 24%</w:t>
            </w:r>
          </w:p>
        </w:tc>
        <w:tc>
          <w:tcPr>
            <w:tcW w:w="2024" w:type="dxa"/>
            <w:vAlign w:val="center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Ποσό ανά μονάδα συμπεριλαμβανομένου ΦΠΑ 24%</w:t>
            </w:r>
          </w:p>
        </w:tc>
      </w:tr>
      <w:tr w:rsidR="006E3D43" w:rsidRPr="00025633" w:rsidTr="007E056B">
        <w:trPr>
          <w:trHeight w:val="331"/>
        </w:trPr>
        <w:tc>
          <w:tcPr>
            <w:tcW w:w="3423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szCs w:val="20"/>
                <w:lang w:eastAsia="el-GR"/>
              </w:rPr>
            </w:pPr>
            <w:r w:rsidRPr="00025633">
              <w:rPr>
                <w:rFonts w:cs="Calibri"/>
                <w:szCs w:val="20"/>
                <w:lang w:eastAsia="el-GR"/>
              </w:rPr>
              <w:t xml:space="preserve">Έκδοση πιστοποιητικών Πιστοποίησης </w:t>
            </w:r>
          </w:p>
        </w:tc>
        <w:tc>
          <w:tcPr>
            <w:tcW w:w="2271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1462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right"/>
              <w:rPr>
                <w:rFonts w:cs="Calibri"/>
                <w:szCs w:val="20"/>
                <w:lang w:eastAsia="el-GR"/>
              </w:rPr>
            </w:pPr>
          </w:p>
        </w:tc>
        <w:tc>
          <w:tcPr>
            <w:tcW w:w="2024" w:type="dxa"/>
          </w:tcPr>
          <w:p w:rsidR="006E3D43" w:rsidRPr="00025633" w:rsidRDefault="006E3D43" w:rsidP="007E056B">
            <w:pPr>
              <w:widowControl w:val="0"/>
              <w:spacing w:line="240" w:lineRule="auto"/>
              <w:jc w:val="right"/>
              <w:rPr>
                <w:rFonts w:cs="Calibri"/>
                <w:szCs w:val="20"/>
                <w:lang w:eastAsia="el-GR"/>
              </w:rPr>
            </w:pPr>
          </w:p>
        </w:tc>
      </w:tr>
      <w:tr w:rsidR="006E3D43" w:rsidRPr="00025633" w:rsidTr="007E056B">
        <w:tc>
          <w:tcPr>
            <w:tcW w:w="3423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b/>
                <w:szCs w:val="20"/>
                <w:lang w:eastAsia="el-GR"/>
              </w:rPr>
            </w:pPr>
          </w:p>
        </w:tc>
        <w:tc>
          <w:tcPr>
            <w:tcW w:w="3733" w:type="dxa"/>
            <w:gridSpan w:val="2"/>
            <w:shd w:val="clear" w:color="auto" w:fill="auto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ΣΥΝΟΛΙΚΟ ΕΤΗΣΙΟ ΠΟΣΟ ΑΝΕΥ ΦΠΑ 24%</w:t>
            </w:r>
          </w:p>
        </w:tc>
        <w:tc>
          <w:tcPr>
            <w:tcW w:w="2024" w:type="dxa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</w:p>
        </w:tc>
      </w:tr>
      <w:tr w:rsidR="006E3D43" w:rsidRPr="00025633" w:rsidTr="007E056B">
        <w:tc>
          <w:tcPr>
            <w:tcW w:w="3423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b/>
                <w:szCs w:val="20"/>
                <w:lang w:eastAsia="el-GR"/>
              </w:rPr>
            </w:pPr>
          </w:p>
        </w:tc>
        <w:tc>
          <w:tcPr>
            <w:tcW w:w="3733" w:type="dxa"/>
            <w:gridSpan w:val="2"/>
            <w:shd w:val="clear" w:color="auto" w:fill="auto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ΦΠΑ 24%</w:t>
            </w:r>
          </w:p>
        </w:tc>
        <w:tc>
          <w:tcPr>
            <w:tcW w:w="2024" w:type="dxa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</w:p>
        </w:tc>
      </w:tr>
      <w:tr w:rsidR="006E3D43" w:rsidRPr="00025633" w:rsidTr="007E056B">
        <w:tc>
          <w:tcPr>
            <w:tcW w:w="3423" w:type="dxa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left"/>
              <w:rPr>
                <w:rFonts w:cs="Calibri"/>
                <w:b/>
                <w:szCs w:val="20"/>
                <w:lang w:eastAsia="el-GR"/>
              </w:rPr>
            </w:pPr>
          </w:p>
        </w:tc>
        <w:tc>
          <w:tcPr>
            <w:tcW w:w="3733" w:type="dxa"/>
            <w:gridSpan w:val="2"/>
            <w:shd w:val="clear" w:color="auto" w:fill="auto"/>
          </w:tcPr>
          <w:p w:rsidR="006E3D43" w:rsidRPr="0002563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  <w:r>
              <w:rPr>
                <w:rFonts w:cs="Calibri"/>
                <w:b/>
                <w:szCs w:val="20"/>
                <w:lang w:eastAsia="el-GR"/>
              </w:rPr>
              <w:t>ΣΥΝΟΛΙΚΟ ΕΤΗΣΙΟ ΠΟΣΟ ΣΥΜΠ. ΦΠΑ 24%</w:t>
            </w:r>
          </w:p>
        </w:tc>
        <w:tc>
          <w:tcPr>
            <w:tcW w:w="2024" w:type="dxa"/>
          </w:tcPr>
          <w:p w:rsidR="006E3D43" w:rsidRDefault="006E3D43" w:rsidP="007E056B">
            <w:pPr>
              <w:widowControl w:val="0"/>
              <w:spacing w:line="240" w:lineRule="auto"/>
              <w:jc w:val="center"/>
              <w:rPr>
                <w:rFonts w:cs="Calibri"/>
                <w:b/>
                <w:szCs w:val="20"/>
                <w:lang w:eastAsia="el-GR"/>
              </w:rPr>
            </w:pPr>
          </w:p>
        </w:tc>
      </w:tr>
    </w:tbl>
    <w:p w:rsidR="006E3D43" w:rsidRDefault="006E3D43" w:rsidP="006E3D43">
      <w:pPr>
        <w:rPr>
          <w:b/>
          <w:szCs w:val="20"/>
          <w:u w:val="single"/>
        </w:rPr>
      </w:pPr>
    </w:p>
    <w:p w:rsidR="006E3D43" w:rsidRDefault="006E3D43" w:rsidP="006E3D43">
      <w:pPr>
        <w:rPr>
          <w:b/>
          <w:szCs w:val="20"/>
          <w:u w:val="single"/>
        </w:rPr>
      </w:pPr>
      <w:r>
        <w:rPr>
          <w:b/>
          <w:szCs w:val="20"/>
          <w:u w:val="single"/>
        </w:rPr>
        <w:t>ΣΥΝΟΛΙΚΟ ΠΟΣΟ ΑΝΑ ΕΤΟΣ (ΠΙΝΑΚΑΣ Ι ΚΑΙ ΙΙ)</w:t>
      </w:r>
    </w:p>
    <w:tbl>
      <w:tblPr>
        <w:tblW w:w="45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207"/>
        <w:gridCol w:w="2205"/>
        <w:gridCol w:w="2205"/>
      </w:tblGrid>
      <w:tr w:rsidR="006E3D43" w:rsidRPr="00500A34" w:rsidTr="007E056B">
        <w:trPr>
          <w:trHeight w:val="356"/>
        </w:trPr>
        <w:tc>
          <w:tcPr>
            <w:tcW w:w="766" w:type="pct"/>
            <w:shd w:val="clear" w:color="auto" w:fill="auto"/>
          </w:tcPr>
          <w:p w:rsidR="006E3D43" w:rsidRPr="003713EC" w:rsidRDefault="006E3D43" w:rsidP="007E056B">
            <w:pPr>
              <w:widowControl w:val="0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 xml:space="preserve">Έτος </w:t>
            </w:r>
          </w:p>
        </w:tc>
        <w:tc>
          <w:tcPr>
            <w:tcW w:w="1412" w:type="pct"/>
          </w:tcPr>
          <w:p w:rsidR="006E3D43" w:rsidRPr="003713EC" w:rsidRDefault="006E3D43" w:rsidP="007E056B">
            <w:pPr>
              <w:widowControl w:val="0"/>
              <w:jc w:val="center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Ποσό άνευ ΦΠΑ 24%</w:t>
            </w:r>
          </w:p>
        </w:tc>
        <w:tc>
          <w:tcPr>
            <w:tcW w:w="1411" w:type="pct"/>
          </w:tcPr>
          <w:p w:rsidR="006E3D43" w:rsidRDefault="006E3D43" w:rsidP="007E056B">
            <w:pPr>
              <w:widowControl w:val="0"/>
              <w:jc w:val="center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ΦΠΑ 24%</w:t>
            </w:r>
          </w:p>
        </w:tc>
        <w:tc>
          <w:tcPr>
            <w:tcW w:w="1411" w:type="pct"/>
            <w:shd w:val="clear" w:color="auto" w:fill="auto"/>
          </w:tcPr>
          <w:p w:rsidR="006E3D43" w:rsidRPr="003713EC" w:rsidRDefault="006E3D43" w:rsidP="007E056B">
            <w:pPr>
              <w:widowControl w:val="0"/>
              <w:jc w:val="center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Ποσό με ΦΠΑ 24%</w:t>
            </w:r>
          </w:p>
        </w:tc>
      </w:tr>
      <w:tr w:rsidR="006E3D43" w:rsidRPr="00500A34" w:rsidTr="007E056B">
        <w:trPr>
          <w:trHeight w:val="356"/>
        </w:trPr>
        <w:tc>
          <w:tcPr>
            <w:tcW w:w="766" w:type="pct"/>
            <w:shd w:val="clear" w:color="auto" w:fill="auto"/>
          </w:tcPr>
          <w:p w:rsidR="006E3D43" w:rsidRPr="003713EC" w:rsidRDefault="006E3D43" w:rsidP="007E056B">
            <w:pPr>
              <w:widowControl w:val="0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2018</w:t>
            </w:r>
          </w:p>
        </w:tc>
        <w:tc>
          <w:tcPr>
            <w:tcW w:w="1412" w:type="pct"/>
            <w:vAlign w:val="bottom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  <w:shd w:val="clear" w:color="auto" w:fill="auto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</w:tr>
      <w:tr w:rsidR="006E3D43" w:rsidRPr="00500A34" w:rsidTr="007E056B">
        <w:tc>
          <w:tcPr>
            <w:tcW w:w="766" w:type="pct"/>
            <w:shd w:val="clear" w:color="auto" w:fill="auto"/>
          </w:tcPr>
          <w:p w:rsidR="006E3D43" w:rsidRPr="003713EC" w:rsidRDefault="006E3D43" w:rsidP="007E056B">
            <w:pPr>
              <w:widowControl w:val="0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2019</w:t>
            </w:r>
          </w:p>
        </w:tc>
        <w:tc>
          <w:tcPr>
            <w:tcW w:w="1412" w:type="pct"/>
            <w:vAlign w:val="bottom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  <w:shd w:val="clear" w:color="auto" w:fill="auto"/>
          </w:tcPr>
          <w:p w:rsidR="006E3D43" w:rsidRDefault="006E3D43" w:rsidP="007E056B">
            <w:pPr>
              <w:jc w:val="center"/>
            </w:pPr>
          </w:p>
        </w:tc>
      </w:tr>
      <w:tr w:rsidR="006E3D43" w:rsidRPr="00500A34" w:rsidTr="007E056B">
        <w:tc>
          <w:tcPr>
            <w:tcW w:w="766" w:type="pct"/>
            <w:shd w:val="clear" w:color="auto" w:fill="auto"/>
          </w:tcPr>
          <w:p w:rsidR="006E3D43" w:rsidRPr="003713EC" w:rsidRDefault="006E3D43" w:rsidP="007E056B">
            <w:pPr>
              <w:widowControl w:val="0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2020</w:t>
            </w:r>
          </w:p>
        </w:tc>
        <w:tc>
          <w:tcPr>
            <w:tcW w:w="1412" w:type="pct"/>
            <w:vAlign w:val="bottom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  <w:shd w:val="clear" w:color="auto" w:fill="auto"/>
          </w:tcPr>
          <w:p w:rsidR="006E3D43" w:rsidRDefault="006E3D43" w:rsidP="007E056B">
            <w:pPr>
              <w:jc w:val="center"/>
            </w:pPr>
          </w:p>
        </w:tc>
      </w:tr>
      <w:tr w:rsidR="006E3D43" w:rsidRPr="00500A34" w:rsidTr="007E056B">
        <w:tc>
          <w:tcPr>
            <w:tcW w:w="766" w:type="pct"/>
            <w:shd w:val="clear" w:color="auto" w:fill="auto"/>
          </w:tcPr>
          <w:p w:rsidR="006E3D43" w:rsidRPr="003713EC" w:rsidRDefault="006E3D43" w:rsidP="007E056B">
            <w:pPr>
              <w:widowControl w:val="0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2021</w:t>
            </w:r>
          </w:p>
        </w:tc>
        <w:tc>
          <w:tcPr>
            <w:tcW w:w="1412" w:type="pct"/>
            <w:vAlign w:val="bottom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</w:tcPr>
          <w:p w:rsidR="006E3D43" w:rsidRPr="00427586" w:rsidRDefault="006E3D43" w:rsidP="007E056B">
            <w:pPr>
              <w:widowControl w:val="0"/>
              <w:jc w:val="center"/>
              <w:rPr>
                <w:rFonts w:cs="Katsoulidis"/>
                <w:color w:val="000000"/>
                <w:szCs w:val="20"/>
              </w:rPr>
            </w:pPr>
          </w:p>
        </w:tc>
        <w:tc>
          <w:tcPr>
            <w:tcW w:w="1411" w:type="pct"/>
            <w:shd w:val="clear" w:color="auto" w:fill="auto"/>
          </w:tcPr>
          <w:p w:rsidR="006E3D43" w:rsidRDefault="006E3D43" w:rsidP="007E056B">
            <w:pPr>
              <w:jc w:val="center"/>
            </w:pPr>
          </w:p>
        </w:tc>
      </w:tr>
      <w:tr w:rsidR="006E3D43" w:rsidRPr="00B138EF" w:rsidTr="007E056B">
        <w:tc>
          <w:tcPr>
            <w:tcW w:w="766" w:type="pct"/>
            <w:shd w:val="clear" w:color="auto" w:fill="auto"/>
          </w:tcPr>
          <w:p w:rsidR="006E3D43" w:rsidRPr="00B138EF" w:rsidRDefault="006E3D43" w:rsidP="007E056B">
            <w:pPr>
              <w:widowControl w:val="0"/>
              <w:rPr>
                <w:rFonts w:cs="Katsoulidis"/>
                <w:b/>
                <w:color w:val="000000"/>
                <w:szCs w:val="20"/>
              </w:rPr>
            </w:pPr>
            <w:r>
              <w:rPr>
                <w:rFonts w:cs="Katsoulidis"/>
                <w:b/>
                <w:color w:val="000000"/>
                <w:szCs w:val="20"/>
              </w:rPr>
              <w:t>Σύνολο τετραετίας</w:t>
            </w:r>
          </w:p>
        </w:tc>
        <w:tc>
          <w:tcPr>
            <w:tcW w:w="1412" w:type="pct"/>
            <w:vAlign w:val="bottom"/>
          </w:tcPr>
          <w:p w:rsidR="006E3D43" w:rsidRPr="00B138EF" w:rsidRDefault="006E3D43" w:rsidP="007E056B">
            <w:pPr>
              <w:widowControl w:val="0"/>
              <w:jc w:val="center"/>
              <w:rPr>
                <w:rFonts w:cs="Katsoulidis"/>
                <w:b/>
                <w:color w:val="000000"/>
                <w:szCs w:val="20"/>
              </w:rPr>
            </w:pPr>
          </w:p>
        </w:tc>
        <w:tc>
          <w:tcPr>
            <w:tcW w:w="1411" w:type="pct"/>
          </w:tcPr>
          <w:p w:rsidR="006E3D43" w:rsidRPr="00B138EF" w:rsidRDefault="006E3D43" w:rsidP="007E056B">
            <w:pPr>
              <w:widowControl w:val="0"/>
              <w:jc w:val="center"/>
              <w:rPr>
                <w:rFonts w:cs="Katsoulidis"/>
                <w:b/>
                <w:color w:val="00000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bottom"/>
          </w:tcPr>
          <w:p w:rsidR="006E3D43" w:rsidRPr="00B138EF" w:rsidRDefault="006E3D43" w:rsidP="007E056B">
            <w:pPr>
              <w:widowControl w:val="0"/>
              <w:jc w:val="center"/>
              <w:rPr>
                <w:rFonts w:cs="Katsoulidis"/>
                <w:b/>
                <w:color w:val="000000"/>
                <w:szCs w:val="20"/>
              </w:rPr>
            </w:pPr>
          </w:p>
        </w:tc>
      </w:tr>
    </w:tbl>
    <w:p w:rsidR="006E3D43" w:rsidRDefault="006E3D43" w:rsidP="006E3D43">
      <w:pPr>
        <w:rPr>
          <w:b/>
          <w:szCs w:val="20"/>
          <w:u w:val="single"/>
        </w:rPr>
      </w:pPr>
    </w:p>
    <w:p w:rsidR="006E3D43" w:rsidRDefault="006E3D43" w:rsidP="006E3D43">
      <w:pPr>
        <w:rPr>
          <w:b/>
          <w:szCs w:val="20"/>
          <w:u w:val="single"/>
        </w:rPr>
      </w:pPr>
    </w:p>
    <w:p w:rsidR="006E3D43" w:rsidRDefault="006E3D43" w:rsidP="006E3D43">
      <w:pPr>
        <w:ind w:left="5245" w:right="708"/>
        <w:jc w:val="center"/>
      </w:pPr>
      <w:r>
        <w:t>Ο ΔΗΛΩΝ</w:t>
      </w:r>
    </w:p>
    <w:p w:rsidR="006E3D43" w:rsidRDefault="006E3D43" w:rsidP="006E3D43">
      <w:pPr>
        <w:ind w:left="5245" w:right="708"/>
        <w:jc w:val="center"/>
      </w:pPr>
    </w:p>
    <w:p w:rsidR="006E3D43" w:rsidRDefault="006E3D43" w:rsidP="006E3D43">
      <w:pPr>
        <w:ind w:left="5245" w:right="708"/>
        <w:jc w:val="center"/>
      </w:pPr>
    </w:p>
    <w:p w:rsidR="006E3D43" w:rsidRPr="00C968FA" w:rsidRDefault="006E3D43" w:rsidP="006E3D43">
      <w:pPr>
        <w:ind w:left="5245" w:right="708"/>
        <w:jc w:val="center"/>
        <w:rPr>
          <w:i/>
        </w:rPr>
      </w:pPr>
      <w:r w:rsidRPr="00C968FA">
        <w:rPr>
          <w:i/>
        </w:rPr>
        <w:t>(ΥΠΟΓΡΑΦΗ ΝΟΜΙΜΟΥ ΕΚΠΡΟΣΩΠΟΥ)</w:t>
      </w:r>
    </w:p>
    <w:p w:rsidR="00925C5F" w:rsidRDefault="00925C5F">
      <w:bookmarkStart w:id="0" w:name="_GoBack"/>
      <w:bookmarkEnd w:id="0"/>
    </w:p>
    <w:sectPr w:rsidR="00925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Katsoulidis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43"/>
    <w:rsid w:val="006E3D43"/>
    <w:rsid w:val="009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43"/>
    <w:pPr>
      <w:spacing w:after="0" w:line="360" w:lineRule="auto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43"/>
    <w:pPr>
      <w:spacing w:after="0" w:line="360" w:lineRule="auto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dep-prom04</dc:creator>
  <cp:keywords/>
  <dc:description/>
  <cp:lastModifiedBy>dep-prom04</cp:lastModifiedBy>
  <cp:revision>1</cp:revision>
  <dcterms:created xsi:type="dcterms:W3CDTF">2018-03-30T08:26:00Z</dcterms:created>
  <dcterms:modified xsi:type="dcterms:W3CDTF">2018-03-30T08:28:00Z</dcterms:modified>
</cp:coreProperties>
</file>